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tabs>
          <w:tab w:val="left" w:pos="2203"/>
          <w:tab w:val="left" w:pos="4145"/>
          <w:tab w:val="left" w:pos="5718"/>
          <w:tab w:val="left" w:pos="6938"/>
          <w:tab w:val="left" w:pos="8139"/>
        </w:tabs>
        <w:spacing w:line="600" w:lineRule="exact"/>
        <w:jc w:val="left"/>
        <w:rPr>
          <w:rFonts w:eastAsia="黑体"/>
          <w:kern w:val="0"/>
          <w:sz w:val="32"/>
          <w:szCs w:val="32"/>
        </w:rPr>
      </w:pPr>
    </w:p>
    <w:tbl>
      <w:tblPr>
        <w:tblStyle w:val="5"/>
        <w:tblW w:w="9260" w:type="dxa"/>
        <w:tblInd w:w="93" w:type="dxa"/>
        <w:tblLayout w:type="autofit"/>
        <w:tblCellMar>
          <w:top w:w="0" w:type="dxa"/>
          <w:left w:w="108" w:type="dxa"/>
          <w:bottom w:w="0" w:type="dxa"/>
          <w:right w:w="108" w:type="dxa"/>
        </w:tblCellMar>
      </w:tblPr>
      <w:tblGrid>
        <w:gridCol w:w="1660"/>
        <w:gridCol w:w="3680"/>
        <w:gridCol w:w="3920"/>
      </w:tblGrid>
      <w:tr>
        <w:tblPrEx>
          <w:tblCellMar>
            <w:top w:w="0" w:type="dxa"/>
            <w:left w:w="108" w:type="dxa"/>
            <w:bottom w:w="0" w:type="dxa"/>
            <w:right w:w="108" w:type="dxa"/>
          </w:tblCellMar>
        </w:tblPrEx>
        <w:trPr>
          <w:trHeight w:val="375" w:hRule="atLeast"/>
        </w:trPr>
        <w:tc>
          <w:tcPr>
            <w:tcW w:w="9260" w:type="dxa"/>
            <w:gridSpan w:val="3"/>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黑体" w:hAnsi="黑体" w:eastAsia="黑体" w:cs="宋体"/>
                <w:kern w:val="0"/>
                <w:sz w:val="28"/>
                <w:szCs w:val="28"/>
              </w:rPr>
            </w:pPr>
            <w:r>
              <w:rPr>
                <w:rFonts w:hint="eastAsia" w:ascii="黑体" w:hAnsi="黑体" w:eastAsia="黑体" w:cs="宋体"/>
                <w:kern w:val="0"/>
                <w:sz w:val="28"/>
                <w:szCs w:val="28"/>
                <w:lang w:val="en-US" w:eastAsia="zh-CN"/>
              </w:rPr>
              <w:t>2019</w:t>
            </w:r>
            <w:r>
              <w:rPr>
                <w:rFonts w:hint="eastAsia" w:ascii="黑体" w:hAnsi="黑体" w:eastAsia="黑体" w:cs="宋体"/>
                <w:kern w:val="0"/>
                <w:sz w:val="28"/>
                <w:szCs w:val="28"/>
              </w:rPr>
              <w:t>年部门整体支出绩效目标指标申报表</w:t>
            </w:r>
          </w:p>
        </w:tc>
      </w:tr>
      <w:tr>
        <w:tblPrEx>
          <w:tblCellMar>
            <w:top w:w="0" w:type="dxa"/>
            <w:left w:w="108" w:type="dxa"/>
            <w:bottom w:w="0" w:type="dxa"/>
            <w:right w:w="108" w:type="dxa"/>
          </w:tblCellMar>
        </w:tblPrEx>
        <w:trPr>
          <w:trHeight w:val="405" w:hRule="atLeast"/>
        </w:trPr>
        <w:tc>
          <w:tcPr>
            <w:tcW w:w="1660" w:type="dxa"/>
            <w:tcBorders>
              <w:top w:val="nil"/>
              <w:left w:val="single" w:color="auto" w:sz="4" w:space="0"/>
              <w:bottom w:val="single" w:color="auto" w:sz="4" w:space="0"/>
              <w:right w:val="single" w:color="auto" w:sz="4" w:space="0"/>
            </w:tcBorders>
            <w:noWrap/>
            <w:vAlign w:val="center"/>
          </w:tcPr>
          <w:p>
            <w:pPr>
              <w:widowControl/>
              <w:jc w:val="left"/>
              <w:rPr>
                <w:rFonts w:ascii="宋体" w:cs="宋体"/>
                <w:kern w:val="0"/>
                <w:sz w:val="18"/>
                <w:szCs w:val="18"/>
              </w:rPr>
            </w:pPr>
            <w:r>
              <w:rPr>
                <w:rFonts w:hint="eastAsia" w:ascii="宋体" w:hAnsi="宋体" w:cs="宋体"/>
                <w:kern w:val="0"/>
                <w:sz w:val="18"/>
                <w:szCs w:val="18"/>
              </w:rPr>
              <w:t>填报单位（盖章）</w:t>
            </w:r>
          </w:p>
        </w:tc>
        <w:tc>
          <w:tcPr>
            <w:tcW w:w="3680" w:type="dxa"/>
            <w:tcBorders>
              <w:top w:val="nil"/>
              <w:left w:val="nil"/>
              <w:bottom w:val="single" w:color="auto" w:sz="4" w:space="0"/>
              <w:right w:val="single" w:color="auto" w:sz="4" w:space="0"/>
            </w:tcBorders>
            <w:noWrap/>
            <w:vAlign w:val="center"/>
          </w:tcPr>
          <w:p>
            <w:pPr>
              <w:widowControl/>
              <w:jc w:val="center"/>
              <w:rPr>
                <w:rFonts w:ascii="宋体" w:cs="宋体"/>
                <w:kern w:val="0"/>
                <w:sz w:val="24"/>
              </w:rPr>
            </w:pPr>
            <w:r>
              <w:rPr>
                <w:rFonts w:hint="eastAsia" w:ascii="宋体" w:hAnsi="宋体" w:cs="宋体"/>
                <w:kern w:val="0"/>
                <w:sz w:val="24"/>
                <w:lang w:eastAsia="zh-CN"/>
              </w:rPr>
              <w:t>城步县卫健局</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noWrap/>
            <w:vAlign w:val="center"/>
          </w:tcPr>
          <w:p>
            <w:pPr>
              <w:widowControl/>
              <w:jc w:val="left"/>
              <w:rPr>
                <w:rFonts w:ascii="宋体" w:cs="宋体"/>
                <w:kern w:val="0"/>
                <w:sz w:val="28"/>
                <w:szCs w:val="28"/>
              </w:rPr>
            </w:pPr>
            <w:r>
              <w:rPr>
                <w:rFonts w:hint="eastAsia" w:ascii="宋体" w:hAnsi="宋体" w:cs="宋体"/>
                <w:kern w:val="0"/>
                <w:sz w:val="28"/>
                <w:szCs w:val="28"/>
              </w:rPr>
              <w:t>　</w:t>
            </w:r>
          </w:p>
        </w:tc>
      </w:tr>
      <w:tr>
        <w:tblPrEx>
          <w:tblCellMar>
            <w:top w:w="0" w:type="dxa"/>
            <w:left w:w="108" w:type="dxa"/>
            <w:bottom w:w="0" w:type="dxa"/>
            <w:right w:w="108" w:type="dxa"/>
          </w:tblCellMar>
        </w:tblPrEx>
        <w:trPr>
          <w:trHeight w:val="345" w:hRule="atLeast"/>
        </w:trPr>
        <w:tc>
          <w:tcPr>
            <w:tcW w:w="1660"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部门名称</w:t>
            </w:r>
          </w:p>
        </w:tc>
        <w:tc>
          <w:tcPr>
            <w:tcW w:w="7600"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75" w:hRule="atLeast"/>
        </w:trPr>
        <w:tc>
          <w:tcPr>
            <w:tcW w:w="16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年度预算申请（万元）</w:t>
            </w:r>
          </w:p>
        </w:tc>
        <w:tc>
          <w:tcPr>
            <w:tcW w:w="368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资金总额：</w:t>
            </w:r>
            <w:r>
              <w:rPr>
                <w:rFonts w:hint="eastAsia" w:ascii="宋体" w:hAnsi="宋体" w:cs="宋体"/>
                <w:kern w:val="0"/>
                <w:sz w:val="18"/>
                <w:szCs w:val="18"/>
                <w:lang w:val="en-US" w:eastAsia="zh-CN"/>
              </w:rPr>
              <w:t>8639.38</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按收入性质分：</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按支出性质分：</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其中：公共财政拨款：</w:t>
            </w:r>
            <w:r>
              <w:rPr>
                <w:rFonts w:hint="eastAsia" w:ascii="宋体" w:hAnsi="宋体" w:cs="宋体"/>
                <w:kern w:val="0"/>
                <w:sz w:val="18"/>
                <w:szCs w:val="18"/>
                <w:lang w:val="en-US" w:eastAsia="zh-CN"/>
              </w:rPr>
              <w:t>8639.38</w:t>
            </w: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其中：</w:t>
            </w:r>
            <w:r>
              <w:rPr>
                <w:rFonts w:ascii="宋体" w:hAnsi="宋体" w:cs="宋体"/>
                <w:kern w:val="0"/>
                <w:sz w:val="18"/>
                <w:szCs w:val="18"/>
              </w:rPr>
              <w:t xml:space="preserve"> </w:t>
            </w:r>
            <w:r>
              <w:rPr>
                <w:rFonts w:hint="eastAsia" w:ascii="宋体" w:hAnsi="宋体" w:cs="宋体"/>
                <w:kern w:val="0"/>
                <w:sz w:val="18"/>
                <w:szCs w:val="18"/>
              </w:rPr>
              <w:t>基本支出：</w:t>
            </w:r>
            <w:r>
              <w:rPr>
                <w:rFonts w:hint="eastAsia" w:ascii="宋体" w:hAnsi="宋体" w:cs="宋体"/>
                <w:kern w:val="0"/>
                <w:sz w:val="18"/>
                <w:szCs w:val="18"/>
                <w:lang w:val="en-US" w:eastAsia="zh-CN"/>
              </w:rPr>
              <w:t>8917.18</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纳入预算管理的非税收入拨款：</w:t>
            </w: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ascii="宋体" w:hAnsi="宋体" w:cs="宋体"/>
                <w:kern w:val="0"/>
                <w:sz w:val="18"/>
                <w:szCs w:val="18"/>
              </w:rPr>
              <w:t xml:space="preserve">       </w:t>
            </w:r>
            <w:r>
              <w:rPr>
                <w:rFonts w:hint="eastAsia" w:ascii="宋体" w:hAnsi="宋体" w:cs="宋体"/>
                <w:kern w:val="0"/>
                <w:sz w:val="18"/>
                <w:szCs w:val="18"/>
              </w:rPr>
              <w:t>项目支出：</w:t>
            </w:r>
            <w:r>
              <w:rPr>
                <w:rFonts w:hint="eastAsia" w:ascii="宋体" w:hAnsi="宋体" w:cs="宋体"/>
                <w:kern w:val="0"/>
                <w:sz w:val="18"/>
                <w:szCs w:val="18"/>
                <w:lang w:val="en-US" w:eastAsia="zh-CN"/>
              </w:rPr>
              <w:t>277.8</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政府性基金拨款：</w:t>
            </w:r>
            <w:bookmarkStart w:id="0" w:name="_GoBack"/>
            <w:bookmarkEnd w:id="0"/>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其他支出：</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国有资本经营收入拨款：</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纳入专户管理的非税收入拨款：</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25" w:hRule="atLeast"/>
        </w:trPr>
        <w:tc>
          <w:tcPr>
            <w:tcW w:w="1660"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部门职能职责概述</w:t>
            </w:r>
          </w:p>
        </w:tc>
        <w:tc>
          <w:tcPr>
            <w:tcW w:w="76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一）贯彻执行卫生和计划生育工作的方针、政策和法律法规。负责起草卫生和计划生育中医药事业发展地方性政策草案，拟定政策规划。负责协调推进全县医药卫生体制改革和医疗保障，统筹规划全县卫生和计划生育服务资源配置，组织和指导区域卫生和计划生育规划的编制和实施。</w:t>
            </w:r>
          </w:p>
        </w:tc>
      </w:tr>
      <w:tr>
        <w:tblPrEx>
          <w:tblCellMar>
            <w:top w:w="0" w:type="dxa"/>
            <w:left w:w="108" w:type="dxa"/>
            <w:bottom w:w="0" w:type="dxa"/>
            <w:right w:w="108" w:type="dxa"/>
          </w:tblCellMar>
        </w:tblPrEx>
        <w:trPr>
          <w:trHeight w:val="499" w:hRule="atLeast"/>
        </w:trPr>
        <w:tc>
          <w:tcPr>
            <w:tcW w:w="16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整体绩效目标</w:t>
            </w:r>
          </w:p>
        </w:tc>
        <w:tc>
          <w:tcPr>
            <w:tcW w:w="7600" w:type="dxa"/>
            <w:gridSpan w:val="2"/>
            <w:tcBorders>
              <w:top w:val="single" w:color="auto" w:sz="4" w:space="0"/>
              <w:left w:val="nil"/>
              <w:bottom w:val="single" w:color="auto" w:sz="4" w:space="0"/>
              <w:right w:val="single" w:color="auto" w:sz="4" w:space="0"/>
            </w:tcBorders>
          </w:tcPr>
          <w:p>
            <w:pPr>
              <w:widowControl/>
              <w:jc w:val="left"/>
              <w:rPr>
                <w:rFonts w:ascii="宋体" w:cs="宋体"/>
                <w:kern w:val="0"/>
                <w:sz w:val="18"/>
                <w:szCs w:val="18"/>
              </w:rPr>
            </w:pPr>
            <w:r>
              <w:rPr>
                <w:rFonts w:hint="eastAsia" w:ascii="宋体" w:hAnsi="宋体" w:cs="宋体"/>
                <w:kern w:val="0"/>
                <w:sz w:val="18"/>
                <w:szCs w:val="18"/>
              </w:rPr>
              <w:t>目标</w:t>
            </w:r>
            <w:r>
              <w:rPr>
                <w:rFonts w:ascii="宋体" w:hAnsi="宋体" w:cs="宋体"/>
                <w:kern w:val="0"/>
                <w:sz w:val="18"/>
                <w:szCs w:val="18"/>
              </w:rPr>
              <w:t>1</w:t>
            </w:r>
            <w:r>
              <w:rPr>
                <w:rFonts w:hint="eastAsia" w:ascii="宋体" w:hAnsi="宋体" w:cs="宋体"/>
                <w:kern w:val="0"/>
                <w:sz w:val="18"/>
                <w:szCs w:val="18"/>
              </w:rPr>
              <w:t>（党委政府下达的绩效考核个性指标任务）：</w:t>
            </w:r>
          </w:p>
        </w:tc>
      </w:tr>
      <w:tr>
        <w:tblPrEx>
          <w:tblCellMar>
            <w:top w:w="0" w:type="dxa"/>
            <w:left w:w="108" w:type="dxa"/>
            <w:bottom w:w="0" w:type="dxa"/>
            <w:right w:w="108" w:type="dxa"/>
          </w:tblCellMar>
        </w:tblPrEx>
        <w:trPr>
          <w:trHeight w:val="54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00" w:type="dxa"/>
            <w:gridSpan w:val="2"/>
            <w:tcBorders>
              <w:top w:val="single" w:color="auto" w:sz="4" w:space="0"/>
              <w:left w:val="nil"/>
              <w:bottom w:val="single" w:color="auto" w:sz="4" w:space="0"/>
              <w:right w:val="single" w:color="auto" w:sz="4" w:space="0"/>
            </w:tcBorders>
          </w:tcPr>
          <w:p>
            <w:pPr>
              <w:widowControl/>
              <w:jc w:val="left"/>
              <w:rPr>
                <w:rFonts w:ascii="宋体" w:cs="宋体"/>
                <w:kern w:val="0"/>
                <w:sz w:val="18"/>
                <w:szCs w:val="18"/>
              </w:rPr>
            </w:pPr>
            <w:r>
              <w:rPr>
                <w:rFonts w:hint="eastAsia" w:ascii="宋体" w:hAnsi="宋体" w:cs="宋体"/>
                <w:kern w:val="0"/>
                <w:sz w:val="18"/>
                <w:szCs w:val="18"/>
              </w:rPr>
              <w:t>目标</w:t>
            </w:r>
            <w:r>
              <w:rPr>
                <w:rFonts w:ascii="宋体" w:hAnsi="宋体" w:cs="宋体"/>
                <w:kern w:val="0"/>
                <w:sz w:val="18"/>
                <w:szCs w:val="18"/>
              </w:rPr>
              <w:t>2</w:t>
            </w:r>
            <w:r>
              <w:rPr>
                <w:rFonts w:hint="eastAsia" w:ascii="宋体" w:hAnsi="宋体" w:cs="宋体"/>
                <w:kern w:val="0"/>
                <w:sz w:val="18"/>
                <w:szCs w:val="18"/>
              </w:rPr>
              <w:t>（上级主管部门下达的主要考核任务）：</w:t>
            </w:r>
          </w:p>
        </w:tc>
      </w:tr>
      <w:tr>
        <w:tblPrEx>
          <w:tblCellMar>
            <w:top w:w="0" w:type="dxa"/>
            <w:left w:w="108" w:type="dxa"/>
            <w:bottom w:w="0" w:type="dxa"/>
            <w:right w:w="108" w:type="dxa"/>
          </w:tblCellMar>
        </w:tblPrEx>
        <w:trPr>
          <w:trHeight w:val="48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7600" w:type="dxa"/>
            <w:gridSpan w:val="2"/>
            <w:tcBorders>
              <w:top w:val="single" w:color="auto" w:sz="4" w:space="0"/>
              <w:left w:val="nil"/>
              <w:bottom w:val="single" w:color="auto" w:sz="4" w:space="0"/>
              <w:right w:val="single" w:color="auto" w:sz="4" w:space="0"/>
            </w:tcBorders>
          </w:tcPr>
          <w:p>
            <w:pPr>
              <w:widowControl/>
              <w:jc w:val="left"/>
              <w:rPr>
                <w:rFonts w:ascii="宋体" w:cs="宋体"/>
                <w:kern w:val="0"/>
                <w:sz w:val="18"/>
                <w:szCs w:val="18"/>
              </w:rPr>
            </w:pPr>
            <w:r>
              <w:rPr>
                <w:rFonts w:hint="eastAsia" w:ascii="宋体" w:hAnsi="宋体" w:cs="宋体"/>
                <w:kern w:val="0"/>
                <w:sz w:val="18"/>
                <w:szCs w:val="18"/>
              </w:rPr>
              <w:t>目标</w:t>
            </w:r>
            <w:r>
              <w:rPr>
                <w:rFonts w:ascii="宋体" w:hAnsi="宋体" w:cs="宋体"/>
                <w:kern w:val="0"/>
                <w:sz w:val="18"/>
                <w:szCs w:val="18"/>
              </w:rPr>
              <w:t>3</w:t>
            </w:r>
            <w:r>
              <w:rPr>
                <w:rFonts w:hint="eastAsia" w:ascii="宋体" w:hAnsi="宋体" w:cs="宋体"/>
                <w:kern w:val="0"/>
                <w:sz w:val="18"/>
                <w:szCs w:val="18"/>
              </w:rPr>
              <w:t>（本部门发展规划）：</w:t>
            </w:r>
          </w:p>
        </w:tc>
      </w:tr>
      <w:tr>
        <w:tblPrEx>
          <w:tblCellMar>
            <w:top w:w="0" w:type="dxa"/>
            <w:left w:w="108" w:type="dxa"/>
            <w:bottom w:w="0" w:type="dxa"/>
            <w:right w:w="108" w:type="dxa"/>
          </w:tblCellMar>
        </w:tblPrEx>
        <w:trPr>
          <w:trHeight w:val="375" w:hRule="atLeast"/>
        </w:trPr>
        <w:tc>
          <w:tcPr>
            <w:tcW w:w="16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部门整体支出年度绩效指标</w:t>
            </w:r>
          </w:p>
        </w:tc>
        <w:tc>
          <w:tcPr>
            <w:tcW w:w="3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产出指标</w:t>
            </w: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部门重点支出占部门整体支出的比例：</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三公经费增减率</w:t>
            </w:r>
            <w:r>
              <w:rPr>
                <w:rFonts w:ascii="宋体" w:hAnsi="宋体" w:cs="宋体"/>
                <w:kern w:val="0"/>
                <w:sz w:val="18"/>
                <w:szCs w:val="18"/>
              </w:rPr>
              <w:t>:</w:t>
            </w:r>
            <w:r>
              <w:rPr>
                <w:rFonts w:hint="eastAsia" w:ascii="宋体" w:hAnsi="宋体" w:cs="宋体"/>
                <w:kern w:val="0"/>
                <w:sz w:val="18"/>
                <w:szCs w:val="18"/>
                <w:lang w:val="en-US" w:eastAsia="zh-CN"/>
              </w:rPr>
              <w:t>-85.6%</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部门整体支出支付进度</w:t>
            </w:r>
            <w:r>
              <w:rPr>
                <w:rFonts w:ascii="宋体" w:hAnsi="宋体" w:cs="宋体"/>
                <w:kern w:val="0"/>
                <w:sz w:val="18"/>
                <w:szCs w:val="18"/>
              </w:rPr>
              <w:t>:</w:t>
            </w:r>
            <w:r>
              <w:rPr>
                <w:rFonts w:hint="eastAsia" w:ascii="宋体" w:hAnsi="宋体" w:cs="宋体"/>
                <w:kern w:val="0"/>
                <w:sz w:val="18"/>
                <w:szCs w:val="18"/>
                <w:lang w:val="en-US" w:eastAsia="zh-CN"/>
              </w:rPr>
              <w:t>90%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结转结余资金增减率：</w:t>
            </w: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部门预决算和三公经费预决算公开：</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政府采购执行率：</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重点工作办结率：</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效益指标</w:t>
            </w: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指标</w:t>
            </w:r>
            <w:r>
              <w:rPr>
                <w:rFonts w:ascii="宋体" w:hAnsi="宋体" w:cs="宋体"/>
                <w:kern w:val="0"/>
                <w:sz w:val="18"/>
                <w:szCs w:val="18"/>
              </w:rPr>
              <w:t>1</w:t>
            </w:r>
            <w:r>
              <w:rPr>
                <w:rFonts w:hint="eastAsia" w:ascii="宋体" w:hAnsi="宋体" w:cs="宋体"/>
                <w:kern w:val="0"/>
                <w:sz w:val="18"/>
                <w:szCs w:val="18"/>
              </w:rPr>
              <w:t>（经济效益）：</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指标</w:t>
            </w:r>
            <w:r>
              <w:rPr>
                <w:rFonts w:ascii="宋体" w:hAnsi="宋体" w:cs="宋体"/>
                <w:kern w:val="0"/>
                <w:sz w:val="18"/>
                <w:szCs w:val="18"/>
              </w:rPr>
              <w:t>2</w:t>
            </w:r>
            <w:r>
              <w:rPr>
                <w:rFonts w:hint="eastAsia" w:ascii="宋体" w:hAnsi="宋体" w:cs="宋体"/>
                <w:kern w:val="0"/>
                <w:sz w:val="18"/>
                <w:szCs w:val="18"/>
              </w:rPr>
              <w:t>（社会效益）：</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hint="default" w:ascii="宋体" w:eastAsia="宋体" w:cs="宋体"/>
                <w:kern w:val="0"/>
                <w:sz w:val="18"/>
                <w:szCs w:val="18"/>
                <w:lang w:val="en-US" w:eastAsia="zh-CN"/>
              </w:rPr>
            </w:pPr>
            <w:r>
              <w:rPr>
                <w:rFonts w:hint="eastAsia" w:ascii="宋体" w:hAnsi="宋体" w:cs="宋体"/>
                <w:kern w:val="0"/>
                <w:sz w:val="18"/>
                <w:szCs w:val="18"/>
              </w:rPr>
              <w:t>指标</w:t>
            </w:r>
            <w:r>
              <w:rPr>
                <w:rFonts w:ascii="宋体" w:hAnsi="宋体" w:cs="宋体"/>
                <w:kern w:val="0"/>
                <w:sz w:val="18"/>
                <w:szCs w:val="18"/>
              </w:rPr>
              <w:t>3</w:t>
            </w:r>
            <w:r>
              <w:rPr>
                <w:rFonts w:hint="eastAsia" w:ascii="宋体" w:hAnsi="宋体" w:cs="宋体"/>
                <w:kern w:val="0"/>
                <w:sz w:val="18"/>
                <w:szCs w:val="18"/>
              </w:rPr>
              <w:t>（社会公众或服务对象满意度）：</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7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920" w:type="dxa"/>
            <w:tcBorders>
              <w:top w:val="nil"/>
              <w:left w:val="nil"/>
              <w:bottom w:val="single" w:color="auto" w:sz="4" w:space="0"/>
              <w:right w:val="single" w:color="auto" w:sz="4" w:space="0"/>
            </w:tcBorders>
            <w:noWrap/>
            <w:vAlign w:val="bottom"/>
          </w:tcPr>
          <w:p>
            <w:pPr>
              <w:widowControl/>
              <w:jc w:val="left"/>
              <w:rPr>
                <w:rFonts w:asci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882" w:hRule="atLeast"/>
        </w:trPr>
        <w:tc>
          <w:tcPr>
            <w:tcW w:w="926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填报说明：绩效指标必须量化和细化</w:t>
            </w:r>
            <w:r>
              <w:rPr>
                <w:rFonts w:ascii="宋体" w:cs="宋体"/>
                <w:kern w:val="0"/>
                <w:sz w:val="18"/>
                <w:szCs w:val="18"/>
              </w:rPr>
              <w:t>.</w:t>
            </w:r>
          </w:p>
        </w:tc>
      </w:tr>
    </w:tbl>
    <w:p>
      <w:pPr>
        <w:widowControl/>
        <w:tabs>
          <w:tab w:val="left" w:pos="2203"/>
          <w:tab w:val="left" w:pos="4145"/>
          <w:tab w:val="left" w:pos="5718"/>
          <w:tab w:val="left" w:pos="6938"/>
          <w:tab w:val="left" w:pos="8139"/>
        </w:tabs>
        <w:spacing w:line="540" w:lineRule="exact"/>
        <w:ind w:left="93"/>
        <w:jc w:val="left"/>
        <w:rPr>
          <w:rFonts w:ascii="黑体" w:hAnsi="Times New Roman" w:eastAsia="黑体"/>
          <w:kern w:val="0"/>
          <w:sz w:val="32"/>
          <w:szCs w:val="32"/>
        </w:rPr>
      </w:pPr>
    </w:p>
    <w:p>
      <w:pPr>
        <w:widowControl/>
        <w:tabs>
          <w:tab w:val="left" w:pos="2203"/>
          <w:tab w:val="left" w:pos="4145"/>
          <w:tab w:val="left" w:pos="5718"/>
          <w:tab w:val="left" w:pos="6938"/>
          <w:tab w:val="left" w:pos="8139"/>
        </w:tabs>
        <w:spacing w:line="540" w:lineRule="exact"/>
        <w:ind w:left="93"/>
        <w:jc w:val="left"/>
        <w:rPr>
          <w:rFonts w:ascii="Times New Roman" w:eastAsia="黑体"/>
          <w:kern w:val="0"/>
          <w:sz w:val="32"/>
          <w:szCs w:val="32"/>
        </w:rPr>
      </w:pPr>
    </w:p>
    <w:p>
      <w:pPr>
        <w:spacing w:line="540" w:lineRule="exact"/>
        <w:jc w:val="center"/>
        <w:rPr>
          <w:rFonts w:eastAsia="方正小标宋_GBK"/>
          <w:sz w:val="36"/>
          <w:szCs w:val="36"/>
        </w:rPr>
      </w:pPr>
      <w:r>
        <w:rPr>
          <w:rFonts w:hint="eastAsia" w:eastAsia="方正小标宋_GBK"/>
          <w:sz w:val="36"/>
          <w:szCs w:val="36"/>
        </w:rPr>
        <w:t>《部门整体支出绩效目标申报表》填报说明</w:t>
      </w:r>
    </w:p>
    <w:p>
      <w:pPr>
        <w:spacing w:line="540" w:lineRule="exact"/>
        <w:jc w:val="center"/>
        <w:rPr>
          <w:rFonts w:eastAsia="仿宋_GB2312"/>
          <w:b/>
          <w:sz w:val="32"/>
          <w:szCs w:val="32"/>
        </w:rPr>
      </w:pPr>
    </w:p>
    <w:p>
      <w:pPr>
        <w:spacing w:line="600" w:lineRule="exact"/>
        <w:ind w:firstLine="627" w:firstLineChars="196"/>
        <w:rPr>
          <w:rFonts w:eastAsia="黑体"/>
          <w:sz w:val="32"/>
          <w:szCs w:val="32"/>
        </w:rPr>
      </w:pPr>
      <w:r>
        <w:rPr>
          <w:rFonts w:hint="eastAsia" w:eastAsia="黑体"/>
          <w:sz w:val="32"/>
          <w:szCs w:val="32"/>
        </w:rPr>
        <w:t>一、基本信息</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、年度：填写编制部门预算所属的年份。如</w:t>
      </w:r>
      <w:r>
        <w:rPr>
          <w:rFonts w:eastAsia="仿宋_GB2312"/>
          <w:color w:val="000000"/>
          <w:kern w:val="0"/>
          <w:sz w:val="32"/>
          <w:szCs w:val="32"/>
        </w:rPr>
        <w:t>2016</w:t>
      </w:r>
      <w:r>
        <w:rPr>
          <w:rFonts w:hint="eastAsia" w:eastAsia="仿宋_GB2312"/>
          <w:color w:val="000000"/>
          <w:kern w:val="0"/>
          <w:sz w:val="32"/>
          <w:szCs w:val="32"/>
        </w:rPr>
        <w:t>年编制</w:t>
      </w:r>
      <w:r>
        <w:rPr>
          <w:rFonts w:eastAsia="仿宋_GB2312"/>
          <w:color w:val="000000"/>
          <w:kern w:val="0"/>
          <w:sz w:val="32"/>
          <w:szCs w:val="32"/>
        </w:rPr>
        <w:t>2017</w:t>
      </w:r>
      <w:r>
        <w:rPr>
          <w:rFonts w:hint="eastAsia" w:eastAsia="仿宋_GB2312"/>
          <w:color w:val="000000"/>
          <w:kern w:val="0"/>
          <w:sz w:val="32"/>
          <w:szCs w:val="32"/>
        </w:rPr>
        <w:t>年部门预算，填写</w:t>
      </w:r>
      <w:r>
        <w:rPr>
          <w:rFonts w:eastAsia="仿宋_GB2312"/>
          <w:color w:val="000000"/>
          <w:kern w:val="0"/>
          <w:sz w:val="32"/>
          <w:szCs w:val="32"/>
        </w:rPr>
        <w:t>“2017</w:t>
      </w:r>
      <w:r>
        <w:rPr>
          <w:rFonts w:hint="eastAsia" w:eastAsia="仿宋_GB2312"/>
          <w:color w:val="000000"/>
          <w:kern w:val="0"/>
          <w:sz w:val="32"/>
          <w:szCs w:val="32"/>
        </w:rPr>
        <w:t>年</w:t>
      </w:r>
      <w:r>
        <w:rPr>
          <w:rFonts w:eastAsia="仿宋_GB2312"/>
          <w:color w:val="000000"/>
          <w:kern w:val="0"/>
          <w:sz w:val="32"/>
          <w:szCs w:val="32"/>
        </w:rPr>
        <w:t>”</w:t>
      </w:r>
      <w:r>
        <w:rPr>
          <w:rFonts w:hint="eastAsia" w:eastAsia="仿宋_GB2312"/>
          <w:color w:val="000000"/>
          <w:kern w:val="0"/>
          <w:sz w:val="32"/>
          <w:szCs w:val="32"/>
        </w:rPr>
        <w:t>。</w:t>
      </w:r>
    </w:p>
    <w:p>
      <w:pPr>
        <w:spacing w:line="600" w:lineRule="exact"/>
        <w:ind w:firstLine="640" w:firstLineChars="200"/>
        <w:rPr>
          <w:rFonts w:eastAsia="仿宋_GB2312"/>
          <w:color w:val="000000"/>
          <w:kern w:val="0"/>
          <w:sz w:val="32"/>
          <w:szCs w:val="32"/>
        </w:rPr>
      </w:pPr>
      <w:r>
        <w:rPr>
          <w:sz w:val="32"/>
          <w:szCs w:val="32"/>
        </w:rPr>
        <w:t>2</w:t>
      </w:r>
      <w:r>
        <w:rPr>
          <w:rFonts w:hint="eastAsia"/>
          <w:sz w:val="32"/>
          <w:szCs w:val="32"/>
        </w:rPr>
        <w:t>、</w:t>
      </w:r>
      <w:r>
        <w:rPr>
          <w:rFonts w:hint="eastAsia" w:eastAsia="仿宋_GB2312"/>
          <w:color w:val="000000"/>
          <w:kern w:val="0"/>
          <w:sz w:val="32"/>
          <w:szCs w:val="32"/>
        </w:rPr>
        <w:t>填报单位（盖章）：加盖填报单位公章。</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、年度预算申请：填写部门年度预算资金总额，并按收入预算和支出预算分别填写。收入预算包括公共财政拨款、政府性基金拨款、纳入专户管理的非税收入拨款和其他资金；支出预算包括基本支出和项目支出。</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、部门职能职责概述：</w:t>
      </w:r>
      <w:r>
        <w:rPr>
          <w:rFonts w:hint="eastAsia" w:eastAsia="仿宋_GB2312"/>
          <w:sz w:val="32"/>
          <w:szCs w:val="32"/>
        </w:rPr>
        <w:t>简要描述本部门的主要职能职责。</w:t>
      </w:r>
    </w:p>
    <w:p>
      <w:pPr>
        <w:spacing w:line="600" w:lineRule="exact"/>
        <w:ind w:firstLine="640" w:firstLineChars="200"/>
        <w:rPr>
          <w:rFonts w:eastAsia="黑体"/>
          <w:color w:val="000000"/>
          <w:kern w:val="0"/>
          <w:sz w:val="32"/>
          <w:szCs w:val="32"/>
        </w:rPr>
      </w:pPr>
      <w:r>
        <w:rPr>
          <w:rFonts w:hint="eastAsia" w:eastAsia="黑体"/>
          <w:color w:val="000000"/>
          <w:kern w:val="0"/>
          <w:sz w:val="32"/>
          <w:szCs w:val="32"/>
        </w:rPr>
        <w:t>二、整体绩效目标</w:t>
      </w:r>
    </w:p>
    <w:p>
      <w:pPr>
        <w:spacing w:line="600" w:lineRule="exact"/>
        <w:ind w:firstLine="640" w:firstLineChars="200"/>
        <w:rPr>
          <w:rFonts w:eastAsia="仿宋_GB2312"/>
          <w:sz w:val="32"/>
          <w:szCs w:val="32"/>
        </w:rPr>
      </w:pPr>
      <w:r>
        <w:rPr>
          <w:rFonts w:hint="eastAsia" w:eastAsia="仿宋_GB2312"/>
          <w:sz w:val="32"/>
          <w:szCs w:val="32"/>
        </w:rPr>
        <w:t>预算部门根据各级党委政府下达的工作任务及本部门发展规划，描述年度内部门使用预算资金达到的产出和效果。</w:t>
      </w:r>
    </w:p>
    <w:p>
      <w:pPr>
        <w:spacing w:line="600" w:lineRule="exact"/>
        <w:ind w:firstLine="640" w:firstLineChars="200"/>
        <w:rPr>
          <w:rFonts w:eastAsia="黑体"/>
          <w:color w:val="000000"/>
          <w:kern w:val="0"/>
          <w:sz w:val="32"/>
          <w:szCs w:val="32"/>
        </w:rPr>
      </w:pPr>
      <w:r>
        <w:rPr>
          <w:rFonts w:hint="eastAsia" w:eastAsia="黑体"/>
          <w:color w:val="000000"/>
          <w:kern w:val="0"/>
          <w:sz w:val="32"/>
          <w:szCs w:val="32"/>
        </w:rPr>
        <w:t>三、部门整体支出年度绩效指标</w:t>
      </w:r>
    </w:p>
    <w:p>
      <w:pPr>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rPr>
        <w:t>部门整体支出年度绩效指标是对预算部门整体支出绩效目标的细化和量化，主要包括：</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产出指标：反映部门根据既定目标计划完成的产品和服务情况。可进一步细分为：数量指标，反映部门计划完成的产品或服务数量；质量指标，反映部门计划提供产品或服务达到的标准、水平和效果；时效指标，反映部门计划提供产品或服务的及时程度和效率情况；成本指标，反映部门计划提供产品或服务所需成本。</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、效益指标：反映与既定绩效目标相关的、部门整体支出预期结果的实现程度和影响，包括经济效益指标、社会效益指标、生态效益指标、可持续影响指标、</w:t>
      </w:r>
      <w:r>
        <w:rPr>
          <w:rFonts w:hint="eastAsia" w:eastAsia="仿宋_GB2312"/>
          <w:sz w:val="32"/>
          <w:szCs w:val="32"/>
        </w:rPr>
        <w:t>社会公众或服务对象满意度指标</w:t>
      </w:r>
      <w:r>
        <w:rPr>
          <w:rFonts w:hint="eastAsia" w:eastAsia="仿宋_GB2312"/>
          <w:color w:val="000000"/>
          <w:kern w:val="0"/>
          <w:sz w:val="32"/>
          <w:szCs w:val="32"/>
        </w:rPr>
        <w:t>等。</w:t>
      </w:r>
    </w:p>
    <w:p>
      <w:pPr>
        <w:spacing w:line="600" w:lineRule="exact"/>
        <w:ind w:firstLine="640" w:firstLineChars="200"/>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、实际操作中确定的部门整体支出绩效指标具体内容，各部门可根据预算绩效管理工作的需要，在上述指标中选取或做另行补充。</w:t>
      </w:r>
    </w:p>
    <w:p>
      <w:pPr>
        <w:rPr>
          <w:b/>
          <w:bCs/>
          <w:color w:val="FF0000"/>
          <w:sz w:val="44"/>
          <w:szCs w:val="44"/>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C1A5B3A"/>
    <w:rsid w:val="00037A61"/>
    <w:rsid w:val="000E5171"/>
    <w:rsid w:val="00133B1F"/>
    <w:rsid w:val="001A6A81"/>
    <w:rsid w:val="00412E78"/>
    <w:rsid w:val="00423BBD"/>
    <w:rsid w:val="004B1DC6"/>
    <w:rsid w:val="005A6F98"/>
    <w:rsid w:val="006C1826"/>
    <w:rsid w:val="007B7A3A"/>
    <w:rsid w:val="007C144B"/>
    <w:rsid w:val="008D79AF"/>
    <w:rsid w:val="00902A80"/>
    <w:rsid w:val="009731C0"/>
    <w:rsid w:val="00977782"/>
    <w:rsid w:val="009870EE"/>
    <w:rsid w:val="00C46F6E"/>
    <w:rsid w:val="00CA589D"/>
    <w:rsid w:val="00E91427"/>
    <w:rsid w:val="0C1A5B3A"/>
    <w:rsid w:val="152B68F5"/>
    <w:rsid w:val="439E7199"/>
    <w:rsid w:val="518A594D"/>
    <w:rsid w:val="5409787D"/>
    <w:rsid w:val="5A990326"/>
    <w:rsid w:val="6CEE34F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qFormat/>
    <w:locked/>
    <w:uiPriority w:val="99"/>
    <w:rPr>
      <w:rFonts w:ascii="Calibri" w:hAnsi="Calibri" w:eastAsia="宋体" w:cs="Times New Roman"/>
      <w:kern w:val="2"/>
      <w:sz w:val="18"/>
      <w:szCs w:val="18"/>
    </w:rPr>
  </w:style>
  <w:style w:type="character" w:customStyle="1" w:styleId="8">
    <w:name w:val="Header Char"/>
    <w:basedOn w:val="6"/>
    <w:link w:val="4"/>
    <w:qFormat/>
    <w:locked/>
    <w:uiPriority w:val="99"/>
    <w:rPr>
      <w:rFonts w:ascii="Calibri" w:hAnsi="Calibri" w:eastAsia="宋体" w:cs="Times New Roman"/>
      <w:kern w:val="2"/>
      <w:sz w:val="18"/>
      <w:szCs w:val="18"/>
    </w:rPr>
  </w:style>
  <w:style w:type="character" w:customStyle="1" w:styleId="9">
    <w:name w:val="Footer Char"/>
    <w:basedOn w:val="6"/>
    <w:link w:val="3"/>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176</Words>
  <Characters>1007</Characters>
  <Lines>0</Lines>
  <Paragraphs>0</Paragraphs>
  <TotalTime>276</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2016-05-18T07:33:00Z</dcterms:created>
  <dc:creator>bitch</dc:creator>
  <cp:lastModifiedBy>杨玉华</cp:lastModifiedBy>
  <cp:lastPrinted>2020-01-15T07:48:53Z</cp:lastPrinted>
  <dcterms:modified xsi:type="dcterms:W3CDTF">2020-01-15T07:49:39Z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